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70981B50" w:rsidR="00766EB9" w:rsidRPr="00A82C5C" w:rsidRDefault="001A72C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78242D">
        <w:rPr>
          <w:rFonts w:ascii="Arial" w:eastAsia="Arial" w:hAnsi="Arial" w:cs="Arial"/>
          <w:sz w:val="22"/>
          <w:szCs w:val="22"/>
        </w:rPr>
        <w:t>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4D6DC903" w14:textId="77777777" w:rsidR="0056039D" w:rsidRDefault="0056039D" w:rsidP="0056039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2D0F547D" w14:textId="336181E0" w:rsidR="0029313D" w:rsidRPr="0029313D" w:rsidRDefault="0078242D" w:rsidP="0029313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bookmarkStart w:id="0" w:name="_GoBack"/>
      <w:proofErr w:type="spellStart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>Kľúčová</w:t>
      </w:r>
      <w:proofErr w:type="spellEnd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>technológia</w:t>
      </w:r>
      <w:proofErr w:type="spellEnd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 xml:space="preserve"> Zelenej </w:t>
      </w:r>
      <w:proofErr w:type="spellStart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>elektriny</w:t>
      </w:r>
      <w:proofErr w:type="spellEnd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 xml:space="preserve">: </w:t>
      </w:r>
      <w:proofErr w:type="spellStart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>Pohľad</w:t>
      </w:r>
      <w:proofErr w:type="spellEnd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 xml:space="preserve"> na </w:t>
      </w:r>
      <w:proofErr w:type="spellStart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>budúce</w:t>
      </w:r>
      <w:proofErr w:type="spellEnd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78242D">
        <w:rPr>
          <w:rFonts w:ascii="Arial" w:eastAsia="Arial" w:hAnsi="Arial" w:cs="Arial"/>
          <w:b/>
          <w:color w:val="000000"/>
          <w:sz w:val="28"/>
          <w:szCs w:val="22"/>
        </w:rPr>
        <w:t>technológie</w:t>
      </w:r>
      <w:proofErr w:type="spellEnd"/>
    </w:p>
    <w:bookmarkEnd w:id="0"/>
    <w:p w14:paraId="4BBA2E31" w14:textId="77777777" w:rsid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38100732" w14:textId="6C207562" w:rsidR="0056039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Čo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je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presne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Zelená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elektrina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aké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konkrétne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výhody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prináša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logistiku?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Pozrite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ktoré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>technológie</w:t>
      </w:r>
      <w:proofErr w:type="spellEnd"/>
      <w:r w:rsidRPr="0078242D">
        <w:rPr>
          <w:rFonts w:ascii="Arial" w:eastAsia="Arial" w:hAnsi="Arial" w:cs="Arial"/>
          <w:b/>
          <w:color w:val="333333"/>
          <w:sz w:val="24"/>
          <w:lang w:val="sk-SK"/>
        </w:rPr>
        <w:t xml:space="preserve"> sú k dispozícii a kam smerujú.</w:t>
      </w:r>
    </w:p>
    <w:p w14:paraId="477FFC26" w14:textId="77777777" w:rsidR="0056039D" w:rsidRPr="001A72C9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438B1AD" w14:textId="77777777" w:rsidR="0078242D" w:rsidRPr="0078242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vyrobená z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 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kľúčom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ochrane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globálnej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klímy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Zelená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 jediný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spôsob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zabezpečiť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aby motory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továrne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produkovali prakticky nulové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množstvo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skleníkových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plynov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vyrábali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udržateľný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vodík a syntetické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palivá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73251AE" w14:textId="77777777" w:rsidR="0078242D" w:rsidRDefault="0078242D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B5889A4" w14:textId="77777777" w:rsidR="0078242D" w:rsidRPr="0078242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Výzva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tejto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takmer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dokonalej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dekarbonizácie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priemyslu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spočíva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globálnom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zavedení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cenovo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dostupných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dodávok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ekologickej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elektrickej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energie. Logistika a e-mobilita sú len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dve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z mnohých oblastí,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budú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budúcnosti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potrebovať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obrovské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množstvo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ekologickej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elektrickej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energie.</w:t>
      </w:r>
    </w:p>
    <w:p w14:paraId="1DA3DD10" w14:textId="77777777" w:rsidR="0078242D" w:rsidRDefault="0078242D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7D6C1C16" w14:textId="77777777" w:rsidR="0078242D" w:rsidRPr="0078242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Európskej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únii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považuje za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upravuje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smernica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(EÚ) 2018/2001, známa aj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RED II.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Podľa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sú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veterné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turbíny,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fotovoltaické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systémy a vodná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najudržateľnejšími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spôsobmi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výroby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ekologickej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elektrickej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energie. RED II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nezahŕňa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jadrovú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obnoviteľný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zdroj energie.</w:t>
      </w:r>
    </w:p>
    <w:p w14:paraId="0AFB1AB9" w14:textId="77777777" w:rsidR="0078242D" w:rsidRDefault="0078242D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31D5F354" w14:textId="77777777" w:rsidR="0078242D" w:rsidRPr="0078242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prúdi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zásuviek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nijako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nelíši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rovnaká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bez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ohľadu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spôsob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jej výroby.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výbere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dodávateľa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tarify však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spotrebitelia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ovplyvniť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aký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druh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dostane do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siete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Čím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firiem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domácností bude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požadovať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ekologickú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tým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bude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investovať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rozšíreného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využívania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energie. Tento trhový mechanizmus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najčastejšie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uplatňuje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dvoch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nadnárodných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trhoch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elektrinou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Severnej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Amerike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Záruky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pôvodu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78242D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certifikáty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 (GO/REC)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dávajú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spotrebiteľom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istotu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že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kupujú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zelenú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čím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zvyšuje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dopyt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po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031DABD" w14:textId="13A124F5" w:rsidR="00C900DF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9256D75" w14:textId="77777777" w:rsidR="0078242D" w:rsidRPr="0078242D" w:rsidRDefault="0078242D" w:rsidP="0078242D">
      <w:pPr>
        <w:pStyle w:val="Nadpis3"/>
        <w:rPr>
          <w:rFonts w:ascii="Arial" w:eastAsia="Arial" w:hAnsi="Arial" w:cs="Arial"/>
          <w:b/>
          <w:bCs/>
          <w:color w:val="333333"/>
          <w:szCs w:val="22"/>
          <w:lang w:val="sk-SK"/>
        </w:rPr>
      </w:pPr>
      <w:r w:rsidRPr="0078242D">
        <w:rPr>
          <w:rFonts w:ascii="Arial" w:eastAsia="Arial" w:hAnsi="Arial" w:cs="Arial"/>
          <w:b/>
          <w:bCs/>
          <w:color w:val="333333"/>
          <w:szCs w:val="22"/>
          <w:lang w:val="sk-SK"/>
        </w:rPr>
        <w:t xml:space="preserve">Výroba </w:t>
      </w:r>
      <w:proofErr w:type="spellStart"/>
      <w:r w:rsidRPr="0078242D">
        <w:rPr>
          <w:rFonts w:ascii="Arial" w:eastAsia="Arial" w:hAnsi="Arial" w:cs="Arial"/>
          <w:b/>
          <w:bCs/>
          <w:color w:val="333333"/>
          <w:szCs w:val="22"/>
          <w:lang w:val="sk-SK"/>
        </w:rPr>
        <w:t>ekologickej</w:t>
      </w:r>
      <w:proofErr w:type="spellEnd"/>
      <w:r w:rsidRPr="0078242D">
        <w:rPr>
          <w:rFonts w:ascii="Arial" w:eastAsia="Arial" w:hAnsi="Arial" w:cs="Arial"/>
          <w:b/>
          <w:bCs/>
          <w:color w:val="333333"/>
          <w:szCs w:val="22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b/>
          <w:bCs/>
          <w:color w:val="333333"/>
          <w:szCs w:val="22"/>
          <w:lang w:val="sk-SK"/>
        </w:rPr>
        <w:t>elektrickej</w:t>
      </w:r>
      <w:proofErr w:type="spellEnd"/>
      <w:r w:rsidRPr="0078242D">
        <w:rPr>
          <w:rFonts w:ascii="Arial" w:eastAsia="Arial" w:hAnsi="Arial" w:cs="Arial"/>
          <w:b/>
          <w:bCs/>
          <w:color w:val="333333"/>
          <w:szCs w:val="22"/>
          <w:lang w:val="sk-SK"/>
        </w:rPr>
        <w:t xml:space="preserve"> energie</w:t>
      </w:r>
    </w:p>
    <w:p w14:paraId="0AD49396" w14:textId="182EA9CD" w:rsidR="00C900DF" w:rsidRDefault="00C900DF" w:rsidP="00C900DF">
      <w:pPr>
        <w:rPr>
          <w:lang w:val="sk-SK"/>
        </w:rPr>
      </w:pPr>
    </w:p>
    <w:p w14:paraId="0FF2EACE" w14:textId="77777777" w:rsidR="0078242D" w:rsidRPr="0078242D" w:rsidRDefault="0078242D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Každý,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chce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rýchly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prechod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zelenú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urobiť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než len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zvýšiť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dopyt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môže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priamo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nepriamo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investovať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vytvárania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nových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systémov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výroby energie z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Existujú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dva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spôsoby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to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dosiahnuť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: po prvé,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špeciálnych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certifikátov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vydávaných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poskytovateľmi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elektrickej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sľubujú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investície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 nových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elektrární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a po druhé,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samotných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spotrebiteľov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ktorí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si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zelenú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elektrickú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vyrátajú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nielenže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nakupuje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vodnú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z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Nórska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ale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urýchľuje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rozširovanie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fotovoltaických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systémov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inštalovaných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vlastných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budovách.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Hoci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najefektívnejším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prístupom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je, aby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DACHSER takto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vyrobenú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sama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spotrebovala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má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možnosť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vyvážať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prebytočnú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verejnej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siete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Bez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ohľadu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to,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akou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cestou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vydá,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zohráva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cennú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úlohu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prevencii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skleníkových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plynov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pomáha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krajinám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regiónom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rýchlo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prejsť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využívanie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27C6519" w14:textId="77777777" w:rsidR="0078242D" w:rsidRDefault="0078242D" w:rsidP="00C900DF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582C8B78" w14:textId="77777777" w:rsidR="0078242D" w:rsidRPr="0078242D" w:rsidRDefault="0078242D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majú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možnosť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podieľať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vytváraní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nových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veterných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elektrární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tým, že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uzavrú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dlhodobé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zmluvy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o výkupe energie (PPA)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priamo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nakupujú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zelenú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vyrobenú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týmito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zariadeniami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Týmto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spôsobom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dohody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ponúkajú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spoločnostiam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možnosť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podporiť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rozšírenie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výroby energie z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> okrem 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vlastných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budov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areálov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CE5A838" w14:textId="77777777" w:rsidR="0078242D" w:rsidRDefault="0078242D" w:rsidP="00C900DF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5C9A9642" w14:textId="77777777" w:rsidR="0078242D" w:rsidRDefault="0078242D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Otázkou však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zostáva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či by vysoko industrializované regióny mohli v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budúcnosti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uspokojiť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svoje vysoké energetické nároky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výlučne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ekologickou elektrickou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energiou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Odpoveď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áno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Áno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regióny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Európa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musia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pripraviť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svoje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vlastné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siete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prerušovanú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výrobu energie,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najmä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slnka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vetra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teda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prvkov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produkujú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obrovské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množstvo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energie, ale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nevyhnutne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v čase,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keď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 to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potrebné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Hoci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takáto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investícia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infraštruktúry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ambiciózna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nákladná, je technicky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uskutočniteľná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najdôležitejšie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považovala by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za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udržateľnú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Odpoveď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znie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: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nie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Európa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 bude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musieť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naďalej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nakupovať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svetovom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trhu.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lastRenderedPageBreak/>
        <w:t>Predpokladaný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dopyt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príliš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veľký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to, aby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Európa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dokázala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vyrobiť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všetku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zelenú elektrinu, ktorú potrebuje.</w:t>
      </w:r>
    </w:p>
    <w:p w14:paraId="156EF203" w14:textId="77777777" w:rsidR="0078242D" w:rsidRPr="0078242D" w:rsidRDefault="0078242D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ACEE989" w14:textId="77777777" w:rsidR="0078242D" w:rsidRPr="0078242D" w:rsidRDefault="0078242D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Krajiny,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sú v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poprednými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producentmi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fosílnych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palív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je ropa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zemný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plyn, sú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nahrádzané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novými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dodávateľmi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vrátane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regiónov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premieňajú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slnečnú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na vodík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syntetické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palivá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Tvorcovia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politík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trhy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musia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čoskoro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rozhodnúť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aké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množstvo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týchto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palív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bude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potrebné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krajiny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budú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najvhodnejšími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výrobcami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Čím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skôr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určia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strednodobé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dlhodobé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podmienky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, tým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skôr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bude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môcť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investovať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využívania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energie a tým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skôr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môžeme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raz a navždy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zastaviť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klimatické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zmeny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Vďaka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tomu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cenovo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dostupná zelená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elektrina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stane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kľúčovou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technológiou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 xml:space="preserve"> 21. </w:t>
      </w:r>
      <w:proofErr w:type="spellStart"/>
      <w:r w:rsidRPr="0078242D">
        <w:rPr>
          <w:rFonts w:ascii="Arial" w:eastAsia="Arial" w:hAnsi="Arial" w:cs="Arial"/>
          <w:color w:val="333333"/>
          <w:sz w:val="24"/>
          <w:lang w:val="sk-SK"/>
        </w:rPr>
        <w:t>storočia</w:t>
      </w:r>
      <w:proofErr w:type="spellEnd"/>
      <w:r w:rsidRPr="0078242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3E8E3FE0" w14:textId="77777777" w:rsidR="00C900DF" w:rsidRDefault="00C900DF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lastRenderedPageBreak/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78242D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86D68"/>
    <w:rsid w:val="001A72C9"/>
    <w:rsid w:val="0029313D"/>
    <w:rsid w:val="00402647"/>
    <w:rsid w:val="00413974"/>
    <w:rsid w:val="00417612"/>
    <w:rsid w:val="00451836"/>
    <w:rsid w:val="00470014"/>
    <w:rsid w:val="0056039D"/>
    <w:rsid w:val="005C3BBE"/>
    <w:rsid w:val="00636A2D"/>
    <w:rsid w:val="006B7F63"/>
    <w:rsid w:val="00752E42"/>
    <w:rsid w:val="00766EB9"/>
    <w:rsid w:val="0078242D"/>
    <w:rsid w:val="007F4CE5"/>
    <w:rsid w:val="00934827"/>
    <w:rsid w:val="009D7091"/>
    <w:rsid w:val="00AD43C7"/>
    <w:rsid w:val="00BE35A1"/>
    <w:rsid w:val="00C339F8"/>
    <w:rsid w:val="00C37594"/>
    <w:rsid w:val="00C900DF"/>
    <w:rsid w:val="00CC20A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2021-11-08T08:16:00Z</dcterms:created>
  <dcterms:modified xsi:type="dcterms:W3CDTF">2021-11-08T08:16:00Z</dcterms:modified>
</cp:coreProperties>
</file>